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Утвердить распределение прибыли ПАО «Газпром» по результатам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313A4A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4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года.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34F439B4-2B1B-4968-8F0F-F141BE28FD7A}"/>
    <w:embedItalic r:id="rId2" w:fontKey="{850EE6DE-E141-4BEC-A89B-2B7AE3057501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EB1CC938-B370-497F-B576-ADFC82BAA84F}"/>
    <w:embedBold r:id="rId4" w:fontKey="{702AC0A0-B199-4B86-B9E4-951F8857E6F2}"/>
    <w:embedItalic r:id="rId5" w:fontKey="{33AB6FC6-2973-4B4E-86E2-44F4DCFDCE61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79B4CFDB-E7C7-4DBD-A7F4-EF1FC31BF1A1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3BA82D5D-1144-4C49-B357-AA2695412C11}"/>
    <w:embedBold r:id="rId8" w:fontKey="{A0E68ED9-1218-4B0A-A1B7-711D33B1D2D4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5D89CBF8-B36B-47D9-B0F9-289D24D88A40}"/>
    <w:embedBold r:id="rId10" w:fontKey="{5AAC63AD-9B7C-4FB6-B6AE-6E4E3049A19E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68406B91-84EA-46FC-9ACC-61EEC494BDA1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2A100DA3-AD68-4384-B045-B9A814C3F8B6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1136CC8A-4FBE-4552-8821-721EBD9454D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91BA4A10-8221-4774-B831-9B260E89F268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A512000F-E283-4A7B-A401-982AC70AF39B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